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Médico veterinario Marcelo Miragaya se graduó en la Universidad de Buenos Aires y obtuvo sus títulos de postgrado de Master of Science y Ph.D en Fisiología Animal en la University of Idaho, USA, entre 1997 y 1999.</w:t>
      </w:r>
    </w:p>
    <w:p w:rsidR="00000000" w:rsidDel="00000000" w:rsidP="00000000" w:rsidRDefault="00000000" w:rsidRPr="00000000" w14:paraId="00000003">
      <w:pPr>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Actualmente es Profesor Titular de la cátedra de Teriogenología de la Facultad de Ciencias Veterinarias de la UBA donde además se desempeña como investigador formado del Instituto de investigación y Tecnología en Reproducción Animal. Además es director de la Maestría en Reproducción Animal de la UBA.</w:t>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 dirigido varios proyectos de investigación financiados por organismos nacionales e internacionales, en la línea de la investigación aplicada en reproducción y biotecnologías reproductivas en la especie equina y también en camélidos sudamericanos. En este sentido, actualmente dirige un proyecto de investigación en asnos, especie que últimamente ha cobrado un valor productivo notorio a nivel mundial.</w:t>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 presentado trabajos científicos en revistas nacionales e internaciones de alto impacto desde el año 1991 y solamente en los últimos 5 años tiene más de 20 trabajos publicados.</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 sido conferencista invitado en congresos y simposios de la especialidad, organizados en diferentes países, entre los más importantes se cuentan el encuentro anual de la International Embryo Transfer Society (IETS), International Congress on Equine Embryo Transfer (EETS) y el International Symposium on  Stallion Reproduction (ISSR), International Congress on Animal Reproduction (ICAR) y World Congress on South American Camelids.</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Tiene una amplia trayectoria en la formación de recursos humanos, representada por tesistas de maestría y doctorado de la UBA. Además, ha codirigido tesis de maestría y doctorado de otra universidades nacionales.</w:t>
      </w:r>
    </w:p>
    <w:p w:rsidR="00000000" w:rsidDel="00000000" w:rsidP="00000000" w:rsidRDefault="00000000" w:rsidRPr="00000000" w14:paraId="00000008">
      <w:pPr>
        <w:jc w:val="both"/>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