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62" w:rsidRPr="00E52E87" w:rsidRDefault="00537F68" w:rsidP="00025DEA">
      <w:pPr>
        <w:jc w:val="center"/>
        <w:rPr>
          <w:rFonts w:ascii="Arial" w:hAnsi="Arial" w:cs="Arial"/>
          <w:b/>
          <w:sz w:val="28"/>
          <w:szCs w:val="28"/>
        </w:rPr>
      </w:pPr>
      <w:r w:rsidRPr="00E52E87">
        <w:rPr>
          <w:rFonts w:ascii="Arial" w:hAnsi="Arial" w:cs="Arial"/>
          <w:b/>
          <w:sz w:val="28"/>
          <w:szCs w:val="28"/>
        </w:rPr>
        <w:t>CATEDRA DE FISIOLOGIA ANIMAL</w:t>
      </w:r>
      <w:r w:rsidR="00C47462" w:rsidRPr="00E52E87">
        <w:rPr>
          <w:rFonts w:ascii="Arial" w:hAnsi="Arial" w:cs="Arial"/>
          <w:b/>
          <w:sz w:val="28"/>
          <w:szCs w:val="28"/>
        </w:rPr>
        <w:br/>
      </w:r>
    </w:p>
    <w:p w:rsidR="00025DEA" w:rsidRPr="00EB44D6" w:rsidRDefault="00025DEA" w:rsidP="00025DEA">
      <w:pPr>
        <w:jc w:val="center"/>
        <w:rPr>
          <w:rFonts w:ascii="Arial" w:hAnsi="Arial" w:cs="Arial"/>
          <w:b/>
        </w:rPr>
      </w:pPr>
      <w:bookmarkStart w:id="0" w:name="_GoBack"/>
      <w:r w:rsidRPr="00EB44D6">
        <w:rPr>
          <w:rFonts w:ascii="Arial" w:hAnsi="Arial" w:cs="Arial"/>
          <w:b/>
        </w:rPr>
        <w:t>BLOQUE TEMATICO 7</w:t>
      </w:r>
      <w:r w:rsidR="00C47462" w:rsidRPr="00EB44D6">
        <w:rPr>
          <w:rFonts w:ascii="Arial" w:hAnsi="Arial" w:cs="Arial"/>
          <w:b/>
        </w:rPr>
        <w:br/>
      </w:r>
    </w:p>
    <w:bookmarkEnd w:id="0"/>
    <w:p w:rsidR="00025DEA" w:rsidRPr="000A13AD" w:rsidRDefault="00C47462" w:rsidP="00C47462">
      <w:pPr>
        <w:pStyle w:val="Prrafodelista"/>
        <w:spacing w:after="0" w:line="360" w:lineRule="auto"/>
        <w:ind w:left="0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lang w:eastAsia="es-ES"/>
        </w:rPr>
        <w:t xml:space="preserve">1) </w:t>
      </w:r>
      <w:r w:rsidR="00025DEA" w:rsidRPr="000A13AD">
        <w:rPr>
          <w:rFonts w:ascii="Arial" w:eastAsiaTheme="minorEastAsia" w:hAnsi="Arial" w:cs="Arial"/>
          <w:b/>
          <w:color w:val="000000" w:themeColor="text1"/>
          <w:kern w:val="24"/>
          <w:lang w:eastAsia="es-ES"/>
        </w:rPr>
        <w:t>Excitabilidad muscular</w:t>
      </w:r>
    </w:p>
    <w:p w:rsidR="00025DEA" w:rsidRPr="000A13AD" w:rsidRDefault="00025DEA" w:rsidP="00C47462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Músculo esquelético. Organización anatómica e histológica. </w:t>
      </w: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Sarcómero</w:t>
      </w:r>
      <w:proofErr w:type="spell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.</w:t>
      </w:r>
    </w:p>
    <w:p w:rsidR="00025DEA" w:rsidRPr="000A13AD" w:rsidRDefault="00025DEA" w:rsidP="00C47462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Sistema </w:t>
      </w: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sarcotubular</w:t>
      </w:r>
      <w:proofErr w:type="spell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. Funciones</w:t>
      </w:r>
      <w:r w:rsidR="00C47462">
        <w:rPr>
          <w:rFonts w:ascii="Arial" w:eastAsiaTheme="minorEastAsia" w:hAnsi="Arial" w:cs="Arial"/>
          <w:color w:val="000000" w:themeColor="text1"/>
          <w:kern w:val="24"/>
          <w:lang w:eastAsia="es-ES"/>
        </w:rPr>
        <w:t>. R</w:t>
      </w: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eceptores.</w:t>
      </w:r>
    </w:p>
    <w:p w:rsidR="00025DEA" w:rsidRPr="000A13AD" w:rsidRDefault="00025DEA" w:rsidP="00C47462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Potencial de acción del músculo esquelético.</w:t>
      </w:r>
    </w:p>
    <w:p w:rsidR="00025DEA" w:rsidRPr="000A13AD" w:rsidRDefault="00025DEA" w:rsidP="00C47462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Sinapsis neuromuscular.  Neurotransmisión. Receptores</w:t>
      </w:r>
    </w:p>
    <w:p w:rsidR="00C47462" w:rsidRDefault="00025DEA" w:rsidP="00C47462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Respuesta mecánica y eléctrica. Secuencia de la contracción y relajación.</w:t>
      </w:r>
    </w:p>
    <w:p w:rsidR="00025DEA" w:rsidRPr="000A13AD" w:rsidRDefault="00025DEA" w:rsidP="00C47462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Contracción isotónica e isométrica. Suma de contracciones. Tétanos</w:t>
      </w:r>
    </w:p>
    <w:p w:rsidR="00025DEA" w:rsidRPr="000A13AD" w:rsidRDefault="00025DEA" w:rsidP="00C47462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Fibra</w:t>
      </w:r>
      <w:r w:rsidR="00C47462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s I, </w:t>
      </w:r>
      <w:proofErr w:type="spellStart"/>
      <w:r w:rsidR="00C47462">
        <w:rPr>
          <w:rFonts w:ascii="Arial" w:eastAsiaTheme="minorEastAsia" w:hAnsi="Arial" w:cs="Arial"/>
          <w:color w:val="000000" w:themeColor="text1"/>
          <w:kern w:val="24"/>
          <w:lang w:eastAsia="es-ES"/>
        </w:rPr>
        <w:t>IIa</w:t>
      </w:r>
      <w:proofErr w:type="spellEnd"/>
      <w:r w:rsidR="00C47462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y </w:t>
      </w:r>
      <w:proofErr w:type="spellStart"/>
      <w:r w:rsidR="00C47462">
        <w:rPr>
          <w:rFonts w:ascii="Arial" w:eastAsiaTheme="minorEastAsia" w:hAnsi="Arial" w:cs="Arial"/>
          <w:color w:val="000000" w:themeColor="text1"/>
          <w:kern w:val="24"/>
          <w:lang w:eastAsia="es-ES"/>
        </w:rPr>
        <w:t>IIb</w:t>
      </w:r>
      <w:proofErr w:type="spellEnd"/>
      <w:r w:rsidR="00C47462">
        <w:rPr>
          <w:rFonts w:ascii="Arial" w:eastAsiaTheme="minorEastAsia" w:hAnsi="Arial" w:cs="Arial"/>
          <w:color w:val="000000" w:themeColor="text1"/>
          <w:kern w:val="24"/>
          <w:lang w:eastAsia="es-ES"/>
        </w:rPr>
        <w:t>. Características</w:t>
      </w: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. Utilización energética</w:t>
      </w:r>
      <w:r w:rsidR="00C47462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de cada fibra.</w:t>
      </w:r>
    </w:p>
    <w:p w:rsidR="00025DEA" w:rsidRPr="000A13AD" w:rsidRDefault="00025DEA" w:rsidP="00C47462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Control nervioso de la actividad muscular.</w:t>
      </w:r>
    </w:p>
    <w:p w:rsidR="00025DEA" w:rsidRPr="000A13AD" w:rsidRDefault="00025DEA" w:rsidP="00C47462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Músculo liso. Diferencias importante con el músculo esquelético.</w:t>
      </w:r>
    </w:p>
    <w:p w:rsidR="00025DEA" w:rsidRPr="000A13AD" w:rsidRDefault="00025DEA" w:rsidP="00C47462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Secuencia de la contracción y relajación en el músculo liso.</w:t>
      </w:r>
    </w:p>
    <w:p w:rsidR="00025DEA" w:rsidRDefault="00025DEA" w:rsidP="00C47462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Inervación</w:t>
      </w:r>
    </w:p>
    <w:p w:rsidR="000A13AD" w:rsidRPr="000A13AD" w:rsidRDefault="000A13AD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</w:p>
    <w:p w:rsidR="00025DEA" w:rsidRPr="000A13AD" w:rsidRDefault="00025DEA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 w:rsidRPr="000A13AD"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>2) Motilidad gástrica</w:t>
      </w:r>
    </w:p>
    <w:p w:rsidR="00025DEA" w:rsidRPr="000A13AD" w:rsidRDefault="00025DEA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Actividad eléctrica: ritmo eléctrico básico; tipos de ondas. Características y funciones.</w:t>
      </w:r>
    </w:p>
    <w:p w:rsidR="00025DEA" w:rsidRPr="000A13AD" w:rsidRDefault="00025DEA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Actividad mecánica: relajación receptiva refleja. Llenado gástrico. </w:t>
      </w:r>
    </w:p>
    <w:p w:rsidR="00025DEA" w:rsidRPr="000A13AD" w:rsidRDefault="00C47462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>
        <w:rPr>
          <w:rFonts w:ascii="Arial" w:hAnsi="Arial" w:cs="Arial"/>
          <w:color w:val="000000" w:themeColor="text1"/>
          <w:kern w:val="24"/>
          <w:sz w:val="22"/>
          <w:szCs w:val="22"/>
        </w:rPr>
        <w:t>El tránsito de líquidos. D</w:t>
      </w:r>
      <w:r w:rsidR="00025DEA"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iferencias a través del estómago lleno y vacío.</w:t>
      </w:r>
    </w:p>
    <w:p w:rsidR="00025DEA" w:rsidRPr="000A13AD" w:rsidRDefault="00025DEA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Vaciamiento gástrico: papel del antro pilórico.</w:t>
      </w:r>
    </w:p>
    <w:p w:rsidR="00025DEA" w:rsidRPr="000A13AD" w:rsidRDefault="00025DEA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Contracción sistólica </w:t>
      </w:r>
      <w:proofErr w:type="spellStart"/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antral</w:t>
      </w:r>
      <w:proofErr w:type="spellEnd"/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. Presiones </w:t>
      </w:r>
      <w:proofErr w:type="spellStart"/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intragástricas</w:t>
      </w:r>
      <w:proofErr w:type="spellEnd"/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.</w:t>
      </w:r>
    </w:p>
    <w:p w:rsidR="00025DEA" w:rsidRPr="000A13AD" w:rsidRDefault="00025DEA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Regulación </w:t>
      </w:r>
      <w:proofErr w:type="spellStart"/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neurohormonal</w:t>
      </w:r>
      <w:proofErr w:type="spellEnd"/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del vaciado gástrico.</w:t>
      </w:r>
    </w:p>
    <w:p w:rsidR="00025DEA" w:rsidRPr="000A13AD" w:rsidRDefault="00025DEA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Reflejo </w:t>
      </w:r>
      <w:proofErr w:type="spellStart"/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enterogástrico</w:t>
      </w:r>
      <w:proofErr w:type="spellEnd"/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. </w:t>
      </w:r>
      <w:proofErr w:type="spellStart"/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Enterohormonas</w:t>
      </w:r>
      <w:proofErr w:type="spellEnd"/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.</w:t>
      </w:r>
    </w:p>
    <w:p w:rsidR="00025DEA" w:rsidRPr="000A13AD" w:rsidRDefault="00025DEA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Mecanismo del vómito: zonas </w:t>
      </w:r>
      <w:proofErr w:type="spellStart"/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reflexógenas</w:t>
      </w:r>
      <w:proofErr w:type="spellEnd"/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.</w:t>
      </w:r>
    </w:p>
    <w:p w:rsidR="00025DEA" w:rsidRDefault="00025DEA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Centro del vómito.</w:t>
      </w:r>
    </w:p>
    <w:p w:rsidR="000A13AD" w:rsidRDefault="000A13AD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0A13AD" w:rsidRDefault="000A13AD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0A13AD" w:rsidRDefault="000A13AD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0A13AD" w:rsidRDefault="000A13AD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0A13AD" w:rsidRDefault="000A13AD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0A13AD" w:rsidRDefault="000A13AD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C47462" w:rsidRDefault="00C47462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0A13AD" w:rsidRDefault="000A13AD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</w:p>
    <w:p w:rsidR="00C47462" w:rsidRDefault="00C47462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C47462" w:rsidRDefault="00C47462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C47462" w:rsidRDefault="00C47462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025DEA" w:rsidRPr="000A13AD" w:rsidRDefault="00025DEA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A13AD"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>2 bis) Digestión en los estómagos de los rumiantes</w:t>
      </w:r>
    </w:p>
    <w:p w:rsidR="00025DEA" w:rsidRPr="000A13AD" w:rsidRDefault="00025DEA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kern w:val="24"/>
          <w:sz w:val="22"/>
          <w:szCs w:val="22"/>
        </w:rPr>
      </w:pPr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Gotera esof</w:t>
      </w:r>
      <w:r w:rsidR="00C47462">
        <w:rPr>
          <w:rFonts w:ascii="Arial" w:hAnsi="Arial" w:cs="Arial"/>
          <w:color w:val="000000" w:themeColor="text1"/>
          <w:kern w:val="24"/>
          <w:sz w:val="22"/>
          <w:szCs w:val="22"/>
        </w:rPr>
        <w:t>ágica: características motrices. F</w:t>
      </w:r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unción.</w:t>
      </w:r>
    </w:p>
    <w:p w:rsidR="00025DEA" w:rsidRPr="000A13AD" w:rsidRDefault="00025DEA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Reflejos que producen su cierre</w:t>
      </w:r>
    </w:p>
    <w:p w:rsidR="00025DEA" w:rsidRPr="000A13AD" w:rsidRDefault="00025DEA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Movimiento del retículo, rumen y omaso</w:t>
      </w:r>
    </w:p>
    <w:p w:rsidR="00025DEA" w:rsidRPr="000A13AD" w:rsidRDefault="00C47462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Motilidad </w:t>
      </w:r>
      <w:r w:rsidR="00025DEA"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de</w:t>
      </w:r>
      <w:r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cada uno de los </w:t>
      </w:r>
      <w:proofErr w:type="spellStart"/>
      <w:r>
        <w:rPr>
          <w:rFonts w:ascii="Arial" w:hAnsi="Arial" w:cs="Arial"/>
          <w:color w:val="000000" w:themeColor="text1"/>
          <w:kern w:val="24"/>
          <w:sz w:val="22"/>
          <w:szCs w:val="22"/>
        </w:rPr>
        <w:t>preestómagos</w:t>
      </w:r>
      <w:proofErr w:type="spellEnd"/>
      <w:r>
        <w:rPr>
          <w:rFonts w:ascii="Arial" w:hAnsi="Arial" w:cs="Arial"/>
          <w:color w:val="000000" w:themeColor="text1"/>
          <w:kern w:val="24"/>
          <w:sz w:val="22"/>
          <w:szCs w:val="22"/>
        </w:rPr>
        <w:t>. Ciclo motor</w:t>
      </w:r>
      <w:r w:rsidR="00025DEA"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="00025DEA"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retículoomasal</w:t>
      </w:r>
      <w:proofErr w:type="spellEnd"/>
      <w:r w:rsidR="00025DEA"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.</w:t>
      </w:r>
    </w:p>
    <w:p w:rsidR="00025DEA" w:rsidRPr="000A13AD" w:rsidRDefault="00025DEA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Ciclos simples y compuestos: tipos, importancia y frecuencia de presentación.</w:t>
      </w:r>
    </w:p>
    <w:p w:rsidR="00025DEA" w:rsidRPr="000A13AD" w:rsidRDefault="00025DEA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Esfínter retículo-</w:t>
      </w:r>
      <w:proofErr w:type="spellStart"/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omasal</w:t>
      </w:r>
      <w:proofErr w:type="spellEnd"/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. Características motoras.</w:t>
      </w:r>
    </w:p>
    <w:p w:rsidR="00025DEA" w:rsidRPr="000A13AD" w:rsidRDefault="00025DEA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Control nervioso y humoral de la motilidad </w:t>
      </w:r>
      <w:proofErr w:type="spellStart"/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preestomacal</w:t>
      </w:r>
      <w:proofErr w:type="spellEnd"/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.</w:t>
      </w:r>
    </w:p>
    <w:p w:rsidR="00025DEA" w:rsidRPr="000A13AD" w:rsidRDefault="00025DEA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Influencias humorales y hormonales sobre la motilidad.</w:t>
      </w:r>
    </w:p>
    <w:p w:rsidR="00025DEA" w:rsidRPr="000A13AD" w:rsidRDefault="00025DEA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Influencia del alimento, ambiente,</w:t>
      </w:r>
    </w:p>
    <w:p w:rsidR="00025DEA" w:rsidRPr="000A13AD" w:rsidRDefault="00C47462" w:rsidP="000A13AD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color w:val="000000" w:themeColor="text1"/>
          <w:kern w:val="24"/>
          <w:sz w:val="22"/>
          <w:szCs w:val="22"/>
        </w:rPr>
        <w:t>p</w:t>
      </w:r>
      <w:r w:rsidR="00025DEA"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rehensión</w:t>
      </w:r>
      <w:proofErr w:type="spellEnd"/>
      <w:r w:rsidR="00025DEA"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y</w:t>
      </w:r>
      <w:r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el</w:t>
      </w:r>
      <w:r w:rsidR="00025DEA"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 xml:space="preserve"> ayuno sobre la frecuencia motriz </w:t>
      </w:r>
      <w:proofErr w:type="spellStart"/>
      <w:r w:rsidR="00025DEA" w:rsidRPr="000A13AD">
        <w:rPr>
          <w:rFonts w:ascii="Arial" w:hAnsi="Arial" w:cs="Arial"/>
          <w:color w:val="000000" w:themeColor="text1"/>
          <w:kern w:val="24"/>
          <w:sz w:val="22"/>
          <w:szCs w:val="22"/>
        </w:rPr>
        <w:t>preestomacal</w:t>
      </w:r>
      <w:proofErr w:type="spellEnd"/>
    </w:p>
    <w:p w:rsidR="00B362E1" w:rsidRPr="000A13AD" w:rsidRDefault="00B362E1" w:rsidP="000A13AD">
      <w:pPr>
        <w:spacing w:line="360" w:lineRule="auto"/>
        <w:rPr>
          <w:rFonts w:ascii="Arial" w:hAnsi="Arial" w:cs="Arial"/>
        </w:rPr>
      </w:pPr>
    </w:p>
    <w:p w:rsidR="00C47462" w:rsidRDefault="00025DEA" w:rsidP="000A13AD">
      <w:pPr>
        <w:spacing w:after="0" w:line="360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b/>
          <w:bCs/>
          <w:color w:val="000000" w:themeColor="text1"/>
          <w:kern w:val="24"/>
          <w:lang w:eastAsia="es-ES"/>
        </w:rPr>
        <w:t>3) Volumen minuto cardíaco</w:t>
      </w:r>
      <w:r w:rsidR="00C47462">
        <w:rPr>
          <w:rFonts w:ascii="Arial" w:eastAsiaTheme="minorEastAsia" w:hAnsi="Arial" w:cs="Arial"/>
          <w:b/>
          <w:bCs/>
          <w:color w:val="000000" w:themeColor="text1"/>
          <w:kern w:val="24"/>
          <w:lang w:eastAsia="es-ES"/>
        </w:rPr>
        <w:t xml:space="preserve"> (VMC)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eastAsia="es-ES"/>
        </w:rPr>
      </w:pPr>
      <w:proofErr w:type="spellStart"/>
      <w:r w:rsidRPr="000A13AD">
        <w:rPr>
          <w:rFonts w:ascii="Arial" w:eastAsiaTheme="minorEastAsia" w:hAnsi="Arial" w:cs="Arial"/>
          <w:bCs/>
          <w:color w:val="000000" w:themeColor="text1"/>
          <w:kern w:val="24"/>
          <w:lang w:eastAsia="es-ES"/>
        </w:rPr>
        <w:t>Concepto.</w:t>
      </w:r>
      <w:r w:rsidR="00C47462">
        <w:rPr>
          <w:rFonts w:ascii="Arial" w:eastAsiaTheme="minorEastAsia" w:hAnsi="Arial" w:cs="Arial"/>
          <w:bCs/>
          <w:color w:val="000000" w:themeColor="text1"/>
          <w:kern w:val="24"/>
          <w:lang w:eastAsia="es-ES"/>
        </w:rPr>
        <w:t>Fórmula</w:t>
      </w:r>
      <w:proofErr w:type="spellEnd"/>
      <w:r w:rsidR="00C47462">
        <w:rPr>
          <w:rFonts w:ascii="Arial" w:eastAsiaTheme="minorEastAsia" w:hAnsi="Arial" w:cs="Arial"/>
          <w:bCs/>
          <w:color w:val="000000" w:themeColor="text1"/>
          <w:kern w:val="24"/>
          <w:lang w:eastAsia="es-ES"/>
        </w:rPr>
        <w:t xml:space="preserve">. 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Frecuencia cardíaca. Valores.  Regulación </w:t>
      </w: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neurohumoral</w:t>
      </w:r>
      <w:proofErr w:type="spell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 del cronotropismo.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Estimulación </w:t>
      </w: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vagal</w:t>
      </w:r>
      <w:proofErr w:type="spell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y simpática. Centros. Reflejos.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Quimiorreceptores y </w:t>
      </w: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presorreceptores</w:t>
      </w:r>
      <w:proofErr w:type="spell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.Influencia de la respiración</w:t>
      </w:r>
    </w:p>
    <w:p w:rsidR="00025DEA" w:rsidRPr="000A13AD" w:rsidRDefault="00C47462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ES"/>
        </w:rPr>
        <w:t>Volumen latido (d</w:t>
      </w:r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escarga sistólica) Valores.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Poscarga</w:t>
      </w:r>
      <w:proofErr w:type="spell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. Factores que la generan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Regulación </w:t>
      </w: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neurohumoral</w:t>
      </w:r>
      <w:proofErr w:type="spell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del  </w:t>
      </w: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inotropismo</w:t>
      </w:r>
      <w:proofErr w:type="spellEnd"/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Regulación </w:t>
      </w: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heterométrica</w:t>
      </w:r>
      <w:proofErr w:type="spell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y </w:t>
      </w: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homeométrica</w:t>
      </w:r>
      <w:proofErr w:type="spell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de la descarga sistólica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Llenado diastólico. </w:t>
      </w: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Distendibilidad</w:t>
      </w:r>
      <w:proofErr w:type="spell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</w:t>
      </w:r>
      <w:proofErr w:type="gram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miocárdica .</w:t>
      </w:r>
      <w:proofErr w:type="gram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Función del pericardio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Precarga. Factores que la generan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Retorno venoso. Factores que modifican el retorno venoso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Eficiencia y consumo de 02 del corazón.</w:t>
      </w:r>
    </w:p>
    <w:p w:rsidR="00025DEA" w:rsidRPr="000A13AD" w:rsidRDefault="00C47462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ES"/>
        </w:rPr>
        <w:t>Adaptación del VMC</w:t>
      </w:r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: talla corporal, edad, entrena</w:t>
      </w:r>
      <w:r>
        <w:rPr>
          <w:rFonts w:ascii="Arial" w:eastAsiaTheme="minorEastAsia" w:hAnsi="Arial" w:cs="Arial"/>
          <w:color w:val="000000" w:themeColor="text1"/>
          <w:kern w:val="24"/>
          <w:lang w:eastAsia="es-ES"/>
        </w:rPr>
        <w:t>miento, ejercicio  y temperatura</w:t>
      </w:r>
    </w:p>
    <w:p w:rsidR="00025DEA" w:rsidRDefault="00025DEA" w:rsidP="000A13AD">
      <w:pPr>
        <w:spacing w:line="360" w:lineRule="auto"/>
        <w:rPr>
          <w:rFonts w:ascii="Arial" w:hAnsi="Arial" w:cs="Arial"/>
        </w:rPr>
      </w:pPr>
    </w:p>
    <w:p w:rsidR="000A13AD" w:rsidRDefault="000A13AD" w:rsidP="000A13AD">
      <w:pPr>
        <w:spacing w:line="360" w:lineRule="auto"/>
        <w:rPr>
          <w:rFonts w:ascii="Arial" w:hAnsi="Arial" w:cs="Arial"/>
        </w:rPr>
      </w:pPr>
    </w:p>
    <w:p w:rsidR="000A13AD" w:rsidRDefault="000A13AD" w:rsidP="000A13AD">
      <w:pPr>
        <w:spacing w:line="360" w:lineRule="auto"/>
        <w:rPr>
          <w:rFonts w:ascii="Arial" w:hAnsi="Arial" w:cs="Arial"/>
        </w:rPr>
      </w:pPr>
    </w:p>
    <w:p w:rsidR="000A13AD" w:rsidRDefault="000A13AD" w:rsidP="000A13AD">
      <w:pPr>
        <w:spacing w:line="360" w:lineRule="auto"/>
        <w:rPr>
          <w:rFonts w:ascii="Arial" w:hAnsi="Arial" w:cs="Arial"/>
        </w:rPr>
      </w:pPr>
    </w:p>
    <w:p w:rsidR="000A13AD" w:rsidRDefault="000A13AD" w:rsidP="000A13AD">
      <w:pPr>
        <w:spacing w:line="360" w:lineRule="auto"/>
        <w:rPr>
          <w:rFonts w:ascii="Arial" w:hAnsi="Arial" w:cs="Arial"/>
        </w:rPr>
      </w:pPr>
    </w:p>
    <w:p w:rsidR="000A13AD" w:rsidRDefault="000A13AD" w:rsidP="000A13AD">
      <w:pPr>
        <w:spacing w:line="360" w:lineRule="auto"/>
        <w:rPr>
          <w:rFonts w:ascii="Arial" w:hAnsi="Arial" w:cs="Arial"/>
        </w:rPr>
      </w:pPr>
    </w:p>
    <w:p w:rsidR="00C47462" w:rsidRDefault="00C47462" w:rsidP="000A13AD">
      <w:pPr>
        <w:spacing w:line="360" w:lineRule="auto"/>
        <w:rPr>
          <w:rFonts w:ascii="Arial" w:hAnsi="Arial" w:cs="Arial"/>
        </w:rPr>
      </w:pP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b/>
          <w:bCs/>
          <w:color w:val="000000" w:themeColor="text1"/>
          <w:kern w:val="24"/>
          <w:lang w:eastAsia="es-ES"/>
        </w:rPr>
        <w:t xml:space="preserve">4) Concepto de pH y de </w:t>
      </w:r>
      <w:proofErr w:type="spellStart"/>
      <w:r w:rsidRPr="000A13AD">
        <w:rPr>
          <w:rFonts w:ascii="Arial" w:eastAsiaTheme="minorEastAsia" w:hAnsi="Arial" w:cs="Arial"/>
          <w:b/>
          <w:bCs/>
          <w:color w:val="000000" w:themeColor="text1"/>
          <w:kern w:val="24"/>
          <w:lang w:eastAsia="es-ES"/>
        </w:rPr>
        <w:t>pK</w:t>
      </w:r>
      <w:proofErr w:type="spellEnd"/>
      <w:r w:rsidRPr="000A13AD">
        <w:rPr>
          <w:rFonts w:ascii="Arial" w:eastAsiaTheme="minorEastAsia" w:hAnsi="Arial" w:cs="Arial"/>
          <w:b/>
          <w:bCs/>
          <w:color w:val="000000" w:themeColor="text1"/>
          <w:kern w:val="24"/>
          <w:lang w:eastAsia="es-ES"/>
        </w:rPr>
        <w:t>.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Importancia de los diferentes sistemas buffer.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Ecuación de Henderson y </w:t>
      </w: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Hasselbalch</w:t>
      </w:r>
      <w:proofErr w:type="spell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, su aplicación en la práctica clínica.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Diferentes mecanismos reguladores del equilibrio acido-</w:t>
      </w:r>
      <w:proofErr w:type="gram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base .</w:t>
      </w:r>
      <w:proofErr w:type="gramEnd"/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Conceptos de “Brecha </w:t>
      </w: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aniónica</w:t>
      </w:r>
      <w:proofErr w:type="spell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” y “Exceso de base”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Alteraciones respiratorias y metabólicas, agudas o crónicas</w:t>
      </w:r>
      <w:r w:rsidR="00C47462">
        <w:rPr>
          <w:rFonts w:ascii="Arial" w:eastAsiaTheme="minorEastAsia" w:hAnsi="Arial" w:cs="Arial"/>
          <w:color w:val="000000" w:themeColor="text1"/>
          <w:kern w:val="24"/>
          <w:lang w:eastAsia="es-ES"/>
        </w:rPr>
        <w:t>.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Compensación respiratoria y compensación renal.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Relación entre el metabolismo del potasio y el pH arterial.</w:t>
      </w:r>
    </w:p>
    <w:p w:rsidR="00025DEA" w:rsidRDefault="00025DEA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Situaciones paradojales.</w:t>
      </w:r>
    </w:p>
    <w:p w:rsidR="00F417BD" w:rsidRPr="000A13AD" w:rsidRDefault="00C47462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>
        <w:rPr>
          <w:rFonts w:ascii="Arial" w:eastAsiaTheme="minorEastAsia" w:hAnsi="Arial" w:cs="Arial"/>
          <w:lang w:eastAsia="es-ES"/>
        </w:rPr>
        <w:br/>
      </w:r>
    </w:p>
    <w:p w:rsidR="00025DEA" w:rsidRPr="000A13AD" w:rsidRDefault="000A13AD" w:rsidP="000A13AD">
      <w:pPr>
        <w:spacing w:after="0" w:line="360" w:lineRule="auto"/>
        <w:ind w:left="-1134"/>
        <w:mirrorIndents/>
        <w:rPr>
          <w:rFonts w:ascii="Arial" w:eastAsia="Times New Roman" w:hAnsi="Arial" w:cs="Arial"/>
          <w:b/>
          <w:lang w:eastAsia="es-ES"/>
        </w:rPr>
      </w:pPr>
      <w:r>
        <w:rPr>
          <w:rFonts w:ascii="Arial" w:hAnsi="Arial" w:cs="Arial"/>
          <w:b/>
        </w:rPr>
        <w:t xml:space="preserve">                 </w:t>
      </w:r>
      <w:r w:rsidR="00025DEA" w:rsidRPr="000A13AD">
        <w:rPr>
          <w:rFonts w:ascii="Arial" w:hAnsi="Arial" w:cs="Arial"/>
          <w:b/>
        </w:rPr>
        <w:t xml:space="preserve">5) </w:t>
      </w:r>
      <w:r w:rsidR="00025DEA" w:rsidRPr="000A13AD">
        <w:rPr>
          <w:rFonts w:ascii="Arial" w:eastAsiaTheme="minorEastAsia" w:hAnsi="Arial" w:cs="Arial"/>
          <w:b/>
          <w:color w:val="000000" w:themeColor="text1"/>
          <w:kern w:val="24"/>
          <w:lang w:eastAsia="es-ES"/>
        </w:rPr>
        <w:t xml:space="preserve">Glóbulos rojos. </w:t>
      </w:r>
    </w:p>
    <w:p w:rsidR="00025DEA" w:rsidRPr="000A13AD" w:rsidRDefault="000A13AD" w:rsidP="000A13AD">
      <w:pPr>
        <w:spacing w:after="0" w:line="360" w:lineRule="auto"/>
        <w:ind w:left="-851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             </w:t>
      </w:r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Concepto de </w:t>
      </w:r>
      <w:proofErr w:type="spellStart"/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eritrón</w:t>
      </w:r>
      <w:proofErr w:type="spellEnd"/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. Funciones del eritrocito.</w:t>
      </w:r>
    </w:p>
    <w:p w:rsidR="00025DEA" w:rsidRPr="000A13AD" w:rsidRDefault="000A13AD" w:rsidP="000A13AD">
      <w:pPr>
        <w:spacing w:after="0" w:line="360" w:lineRule="auto"/>
        <w:ind w:left="-851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             </w:t>
      </w:r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Características morfológicas de los eritrocitos.</w:t>
      </w:r>
    </w:p>
    <w:p w:rsidR="00025DEA" w:rsidRPr="000A13AD" w:rsidRDefault="000A13AD" w:rsidP="000A13AD">
      <w:pPr>
        <w:spacing w:after="0" w:line="360" w:lineRule="auto"/>
        <w:ind w:left="-851"/>
        <w:rPr>
          <w:rFonts w:ascii="Arial" w:eastAsia="Times New Roman" w:hAnsi="Arial" w:cs="Arial"/>
          <w:lang w:eastAsia="es-ES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            </w:t>
      </w:r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</w:t>
      </w:r>
      <w:proofErr w:type="gramStart"/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Concentración .</w:t>
      </w:r>
      <w:proofErr w:type="gramEnd"/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Variaciones fisiológicas y patológicas.  </w:t>
      </w:r>
    </w:p>
    <w:p w:rsidR="00025DEA" w:rsidRPr="000A13AD" w:rsidRDefault="000A13AD" w:rsidP="000A13AD">
      <w:pPr>
        <w:spacing w:after="0" w:line="360" w:lineRule="auto"/>
        <w:ind w:left="-851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             </w:t>
      </w:r>
      <w:proofErr w:type="spellStart"/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Cinamática</w:t>
      </w:r>
      <w:proofErr w:type="spellEnd"/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del glóbulo rojo: formación, circulación, vida media.</w:t>
      </w:r>
    </w:p>
    <w:p w:rsidR="00025DEA" w:rsidRPr="000A13AD" w:rsidRDefault="000A13AD" w:rsidP="000A13AD">
      <w:pPr>
        <w:spacing w:after="0" w:line="360" w:lineRule="auto"/>
        <w:ind w:left="-851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             </w:t>
      </w:r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Fase </w:t>
      </w:r>
      <w:proofErr w:type="spellStart"/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mesoblástica</w:t>
      </w:r>
      <w:proofErr w:type="spellEnd"/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, hepática y mieloide de la hematopoyesis. Regulación.</w:t>
      </w:r>
    </w:p>
    <w:p w:rsidR="00025DEA" w:rsidRPr="000A13AD" w:rsidRDefault="00025DEA" w:rsidP="000A13AD">
      <w:pPr>
        <w:spacing w:after="0" w:line="360" w:lineRule="auto"/>
        <w:ind w:left="-851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</w:t>
      </w:r>
      <w:r w:rsid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            </w:t>
      </w: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Resistencia osmótica y hemolisis. Resistencia globular máxima y mínima</w:t>
      </w:r>
    </w:p>
    <w:p w:rsidR="00025DEA" w:rsidRPr="000A13AD" w:rsidRDefault="000A13AD" w:rsidP="000A13AD">
      <w:pPr>
        <w:spacing w:after="0" w:line="360" w:lineRule="auto"/>
        <w:ind w:left="-851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             </w:t>
      </w:r>
      <w:proofErr w:type="spellStart"/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Reticulocitos</w:t>
      </w:r>
      <w:proofErr w:type="spellEnd"/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en sangre periférica. Significado.</w:t>
      </w:r>
    </w:p>
    <w:p w:rsidR="00025DEA" w:rsidRPr="000A13AD" w:rsidRDefault="000A13AD" w:rsidP="000A13AD">
      <w:pPr>
        <w:spacing w:after="0" w:line="360" w:lineRule="auto"/>
        <w:ind w:left="-851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             </w:t>
      </w:r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Factores necesarios para la formación de los eritrocitos</w:t>
      </w:r>
    </w:p>
    <w:p w:rsidR="00025DEA" w:rsidRPr="000A13AD" w:rsidRDefault="000A13AD" w:rsidP="000A13AD">
      <w:pPr>
        <w:spacing w:after="0" w:line="360" w:lineRule="auto"/>
        <w:ind w:left="-851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            </w:t>
      </w:r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</w:t>
      </w:r>
      <w:proofErr w:type="spellStart"/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Hemocateresis</w:t>
      </w:r>
      <w:proofErr w:type="spellEnd"/>
      <w:r w:rsidR="00025DEA"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. Metabolismo de la hemoglobina. Pigmentos biliares</w:t>
      </w:r>
    </w:p>
    <w:p w:rsidR="00025DEA" w:rsidRPr="000A13AD" w:rsidRDefault="00025DEA" w:rsidP="000A13AD">
      <w:pPr>
        <w:spacing w:line="360" w:lineRule="auto"/>
        <w:rPr>
          <w:rFonts w:ascii="Arial" w:hAnsi="Arial" w:cs="Arial"/>
        </w:rPr>
      </w:pPr>
    </w:p>
    <w:p w:rsidR="00025DEA" w:rsidRPr="000A13AD" w:rsidRDefault="00025DEA" w:rsidP="000A13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A13AD">
        <w:rPr>
          <w:rFonts w:ascii="Arial" w:hAnsi="Arial" w:cs="Arial"/>
          <w:b/>
        </w:rPr>
        <w:t>6) Tiempo tubular de la formación de orina</w:t>
      </w:r>
      <w:r w:rsidRPr="000A13AD">
        <w:rPr>
          <w:rFonts w:ascii="Arial" w:hAnsi="Arial" w:cs="Arial"/>
        </w:rPr>
        <w:t>.</w:t>
      </w:r>
    </w:p>
    <w:p w:rsidR="00025DEA" w:rsidRPr="000A13AD" w:rsidRDefault="00025DEA" w:rsidP="000A13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A13AD">
        <w:rPr>
          <w:rFonts w:ascii="Arial" w:hAnsi="Arial" w:cs="Arial"/>
        </w:rPr>
        <w:t>Mecanismos de reabsorción, secreción y excreción.</w:t>
      </w:r>
    </w:p>
    <w:p w:rsidR="00025DEA" w:rsidRPr="000A13AD" w:rsidRDefault="00025DEA" w:rsidP="000A13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A13AD">
        <w:rPr>
          <w:rFonts w:ascii="Arial" w:hAnsi="Arial" w:cs="Arial"/>
        </w:rPr>
        <w:t>Transporte tubular de sustancias. Agua,  sodio, potasio, cloro, hidrógeno, fosfatos, aminoácidos, proteínas, urea,  ácido úrico, calcio, magnesio.</w:t>
      </w:r>
    </w:p>
    <w:p w:rsidR="00025DEA" w:rsidRPr="000A13AD" w:rsidRDefault="00025DEA" w:rsidP="000A13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0A13AD">
        <w:rPr>
          <w:rFonts w:ascii="Arial" w:hAnsi="Arial" w:cs="Arial"/>
        </w:rPr>
        <w:t>Clearance</w:t>
      </w:r>
      <w:proofErr w:type="spellEnd"/>
      <w:r w:rsidRPr="000A13AD">
        <w:rPr>
          <w:rFonts w:ascii="Arial" w:hAnsi="Arial" w:cs="Arial"/>
        </w:rPr>
        <w:t xml:space="preserve"> de </w:t>
      </w:r>
      <w:proofErr w:type="spellStart"/>
      <w:r w:rsidRPr="000A13AD">
        <w:rPr>
          <w:rFonts w:ascii="Arial" w:hAnsi="Arial" w:cs="Arial"/>
        </w:rPr>
        <w:t>paraaminohipurato</w:t>
      </w:r>
      <w:proofErr w:type="spellEnd"/>
      <w:r w:rsidRPr="000A13AD">
        <w:rPr>
          <w:rFonts w:ascii="Arial" w:hAnsi="Arial" w:cs="Arial"/>
        </w:rPr>
        <w:t xml:space="preserve">.  Utilidad </w:t>
      </w:r>
    </w:p>
    <w:p w:rsidR="00025DEA" w:rsidRPr="000A13AD" w:rsidRDefault="00025DEA" w:rsidP="000A13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A13AD">
        <w:rPr>
          <w:rFonts w:ascii="Arial" w:hAnsi="Arial" w:cs="Arial"/>
        </w:rPr>
        <w:t>Carga filtrada, carga excretada, fracción de filtración.</w:t>
      </w:r>
      <w:r w:rsidR="00C47462">
        <w:rPr>
          <w:rFonts w:ascii="Arial" w:hAnsi="Arial" w:cs="Arial"/>
        </w:rPr>
        <w:t xml:space="preserve"> </w:t>
      </w:r>
      <w:r w:rsidRPr="000A13AD">
        <w:rPr>
          <w:rFonts w:ascii="Arial" w:hAnsi="Arial" w:cs="Arial"/>
        </w:rPr>
        <w:t>Excreción fraccional.</w:t>
      </w:r>
    </w:p>
    <w:p w:rsidR="00025DEA" w:rsidRDefault="00025DEA" w:rsidP="000A13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A13AD">
        <w:rPr>
          <w:rFonts w:ascii="Arial" w:hAnsi="Arial" w:cs="Arial"/>
        </w:rPr>
        <w:t>Manejo renal de la glucosa</w:t>
      </w:r>
      <w:r w:rsidR="00C47462">
        <w:rPr>
          <w:rFonts w:ascii="Arial" w:hAnsi="Arial" w:cs="Arial"/>
        </w:rPr>
        <w:t xml:space="preserve">  </w:t>
      </w:r>
      <w:r w:rsidRPr="000A13AD">
        <w:rPr>
          <w:rFonts w:ascii="Arial" w:hAnsi="Arial" w:cs="Arial"/>
        </w:rPr>
        <w:t>Umbral  y TM.  Concepto. Unidades.</w:t>
      </w:r>
    </w:p>
    <w:p w:rsidR="00C47462" w:rsidRDefault="00C47462" w:rsidP="000A13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Concentración y dilución de la orina.</w:t>
      </w:r>
    </w:p>
    <w:p w:rsidR="00C47462" w:rsidRDefault="00C47462" w:rsidP="000A13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Mecanismo multiplicador e intercambiador de contracorriente.</w:t>
      </w:r>
    </w:p>
    <w:p w:rsidR="00C47462" w:rsidRPr="000A13AD" w:rsidRDefault="00C47462" w:rsidP="000A13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Función del asa de Henle y de los vasos rectos</w:t>
      </w:r>
    </w:p>
    <w:p w:rsidR="00025DEA" w:rsidRDefault="00025DEA" w:rsidP="000A13AD">
      <w:pPr>
        <w:spacing w:line="360" w:lineRule="auto"/>
        <w:rPr>
          <w:rFonts w:ascii="Arial" w:hAnsi="Arial" w:cs="Arial"/>
        </w:rPr>
      </w:pPr>
    </w:p>
    <w:p w:rsidR="000A13AD" w:rsidRPr="000A13AD" w:rsidRDefault="000A13AD" w:rsidP="000A13AD">
      <w:pPr>
        <w:spacing w:line="360" w:lineRule="auto"/>
        <w:rPr>
          <w:rFonts w:ascii="Arial" w:hAnsi="Arial" w:cs="Arial"/>
        </w:rPr>
      </w:pPr>
    </w:p>
    <w:p w:rsidR="00C47462" w:rsidRDefault="00C47462" w:rsidP="000A13AD">
      <w:pPr>
        <w:spacing w:after="0" w:line="360" w:lineRule="auto"/>
        <w:rPr>
          <w:rFonts w:ascii="Arial" w:eastAsiaTheme="minorEastAsia" w:hAnsi="Arial" w:cs="Arial"/>
          <w:b/>
          <w:bCs/>
          <w:color w:val="000000" w:themeColor="text1"/>
          <w:kern w:val="24"/>
          <w:lang w:eastAsia="es-ES"/>
        </w:rPr>
      </w:pP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b/>
          <w:bCs/>
          <w:color w:val="000000" w:themeColor="text1"/>
          <w:kern w:val="24"/>
          <w:lang w:eastAsia="es-ES"/>
        </w:rPr>
        <w:t>7) Calcio, fósforo y magnesio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Absorción: mecanismos y sustancias que facilitan o dificultan la absorción.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Distribución en el organismo.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Formas en que se encuentran en los distintos tejidos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Funciones </w:t>
      </w:r>
      <w:proofErr w:type="gram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biológicas</w:t>
      </w:r>
      <w:proofErr w:type="gram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. Excreción.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Regulación de la calcemia y la </w:t>
      </w: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fosfatemia</w:t>
      </w:r>
      <w:proofErr w:type="spell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.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Regulación </w:t>
      </w: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homonal</w:t>
      </w:r>
      <w:proofErr w:type="spell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: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PTH, TCT, </w:t>
      </w: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Vit</w:t>
      </w:r>
      <w:proofErr w:type="spell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. D, andrógenos, estrógenos, STH, hormonas tiroideas, glucocorticoides.</w:t>
      </w:r>
    </w:p>
    <w:p w:rsidR="00025DEA" w:rsidRDefault="00025DEA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Efectos biológicos sobre: intestino, riñón y hueso.</w:t>
      </w:r>
    </w:p>
    <w:p w:rsidR="000A13AD" w:rsidRDefault="000A13AD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</w:p>
    <w:p w:rsidR="00C47462" w:rsidRPr="000A13AD" w:rsidRDefault="00C47462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b/>
          <w:bCs/>
          <w:color w:val="000000" w:themeColor="text1"/>
          <w:kern w:val="24"/>
          <w:lang w:eastAsia="es-ES"/>
        </w:rPr>
        <w:t>8) Hormonas sexuales</w:t>
      </w:r>
    </w:p>
    <w:p w:rsidR="00C47462" w:rsidRDefault="00025DEA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Gonadotrofinas hipofisarias y </w:t>
      </w: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extrahipofisarias</w:t>
      </w:r>
      <w:proofErr w:type="spell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. 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</w:t>
      </w:r>
      <w:proofErr w:type="gram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Prolactina</w:t>
      </w:r>
      <w:r w:rsidR="00C47462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:</w:t>
      </w:r>
      <w:proofErr w:type="gramEnd"/>
      <w:r w:rsidR="00C47462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estructura , función y regulación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Esteroides estrógenos progesterona, </w:t>
      </w:r>
      <w:proofErr w:type="gram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andrógenos  .</w:t>
      </w:r>
      <w:proofErr w:type="gram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Síntesis. Efectos biológicos.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Estructura química .Mecanismo íntimo de acción.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Regulación de la secreción: eje hipotálamo </w:t>
      </w: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hipofiso</w:t>
      </w:r>
      <w:proofErr w:type="spell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gonadal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Inhibi</w:t>
      </w:r>
      <w:r w:rsidR="00C47462">
        <w:rPr>
          <w:rFonts w:ascii="Arial" w:eastAsiaTheme="minorEastAsia" w:hAnsi="Arial" w:cs="Arial"/>
          <w:color w:val="000000" w:themeColor="text1"/>
          <w:kern w:val="24"/>
          <w:lang w:eastAsia="es-ES"/>
        </w:rPr>
        <w:t>na</w:t>
      </w:r>
      <w:proofErr w:type="spellEnd"/>
      <w:r w:rsidR="00C47462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. </w:t>
      </w:r>
      <w:proofErr w:type="spellStart"/>
      <w:r w:rsidR="00C47462">
        <w:rPr>
          <w:rFonts w:ascii="Arial" w:eastAsiaTheme="minorEastAsia" w:hAnsi="Arial" w:cs="Arial"/>
          <w:color w:val="000000" w:themeColor="text1"/>
          <w:kern w:val="24"/>
          <w:lang w:eastAsia="es-ES"/>
        </w:rPr>
        <w:t>Relaxina</w:t>
      </w:r>
      <w:proofErr w:type="spellEnd"/>
      <w:r w:rsidR="00C47462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estructura química Origen y f</w:t>
      </w: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unción.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Prostaglandinas: estructura nomenclatura.</w:t>
      </w:r>
      <w:r w:rsidR="00C47462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Tipos.</w:t>
      </w: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Biosíntesis.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color w:val="000000" w:themeColor="text1"/>
          <w:kern w:val="24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Efectos biológicos en: útero, cuerpo lúteo, sistema vascular, riñón,</w:t>
      </w:r>
      <w:r w:rsidR="00C47462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s</w:t>
      </w: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istema nervioso, músculo liso gastrointestinal y </w:t>
      </w:r>
      <w:proofErr w:type="spell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respiratorio</w:t>
      </w:r>
      <w:proofErr w:type="gramStart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,hemostasia</w:t>
      </w:r>
      <w:proofErr w:type="spellEnd"/>
      <w:proofErr w:type="gramEnd"/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 xml:space="preserve"> e inflamación.</w:t>
      </w:r>
    </w:p>
    <w:p w:rsidR="00025DEA" w:rsidRPr="000A13AD" w:rsidRDefault="00025DEA" w:rsidP="000A13AD">
      <w:pPr>
        <w:spacing w:after="0" w:line="360" w:lineRule="auto"/>
        <w:rPr>
          <w:rFonts w:ascii="Arial" w:eastAsiaTheme="minorEastAsia" w:hAnsi="Arial" w:cs="Arial"/>
          <w:lang w:eastAsia="es-ES"/>
        </w:rPr>
      </w:pPr>
      <w:r w:rsidRPr="000A13AD">
        <w:rPr>
          <w:rFonts w:ascii="Arial" w:eastAsiaTheme="minorEastAsia" w:hAnsi="Arial" w:cs="Arial"/>
          <w:color w:val="000000" w:themeColor="text1"/>
          <w:kern w:val="24"/>
          <w:lang w:eastAsia="es-ES"/>
        </w:rPr>
        <w:t>Metabolismo de las prostaglandinas</w:t>
      </w:r>
    </w:p>
    <w:p w:rsidR="00025DEA" w:rsidRPr="000A13AD" w:rsidRDefault="00025DEA" w:rsidP="000A13AD">
      <w:pPr>
        <w:spacing w:line="360" w:lineRule="auto"/>
        <w:rPr>
          <w:rFonts w:ascii="Arial" w:hAnsi="Arial" w:cs="Arial"/>
        </w:rPr>
      </w:pPr>
    </w:p>
    <w:p w:rsidR="00025DEA" w:rsidRDefault="00025DEA"/>
    <w:p w:rsidR="00025DEA" w:rsidRDefault="00025DEA"/>
    <w:p w:rsidR="00025DEA" w:rsidRDefault="00025DEA"/>
    <w:sectPr w:rsidR="00025DE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8C" w:rsidRDefault="0086108C" w:rsidP="000A13AD">
      <w:pPr>
        <w:spacing w:after="0" w:line="240" w:lineRule="auto"/>
      </w:pPr>
      <w:r>
        <w:separator/>
      </w:r>
    </w:p>
  </w:endnote>
  <w:endnote w:type="continuationSeparator" w:id="0">
    <w:p w:rsidR="0086108C" w:rsidRDefault="0086108C" w:rsidP="000A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3AD" w:rsidRPr="00FE3FE0" w:rsidRDefault="000A13AD" w:rsidP="000A13AD">
    <w:pPr>
      <w:pStyle w:val="Piedepgina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r w:rsidRPr="00FE3FE0">
      <w:rPr>
        <w:rFonts w:ascii="Arial" w:eastAsiaTheme="majorEastAsia" w:hAnsi="Arial" w:cs="Arial"/>
      </w:rPr>
      <w:t xml:space="preserve">BLOQUE TEMATICO </w:t>
    </w:r>
    <w:r>
      <w:rPr>
        <w:rFonts w:ascii="Arial" w:eastAsiaTheme="majorEastAsia" w:hAnsi="Arial" w:cs="Arial"/>
      </w:rPr>
      <w:t>7</w:t>
    </w:r>
    <w:r w:rsidRPr="00FE3FE0">
      <w:rPr>
        <w:rFonts w:ascii="Arial" w:eastAsiaTheme="majorEastAsia" w:hAnsi="Arial" w:cs="Arial"/>
      </w:rPr>
      <w:ptab w:relativeTo="margin" w:alignment="right" w:leader="none"/>
    </w:r>
    <w:r w:rsidRPr="00FE3FE0">
      <w:rPr>
        <w:rFonts w:ascii="Arial" w:eastAsiaTheme="majorEastAsia" w:hAnsi="Arial" w:cs="Arial"/>
      </w:rPr>
      <w:t xml:space="preserve">Página </w:t>
    </w:r>
    <w:r w:rsidRPr="00FE3FE0">
      <w:rPr>
        <w:rFonts w:ascii="Arial" w:eastAsiaTheme="minorEastAsia" w:hAnsi="Arial" w:cs="Arial"/>
      </w:rPr>
      <w:fldChar w:fldCharType="begin"/>
    </w:r>
    <w:r w:rsidRPr="00FE3FE0">
      <w:rPr>
        <w:rFonts w:ascii="Arial" w:hAnsi="Arial" w:cs="Arial"/>
      </w:rPr>
      <w:instrText>PAGE   \* MERGEFORMAT</w:instrText>
    </w:r>
    <w:r w:rsidRPr="00FE3FE0">
      <w:rPr>
        <w:rFonts w:ascii="Arial" w:eastAsiaTheme="minorEastAsia" w:hAnsi="Arial" w:cs="Arial"/>
      </w:rPr>
      <w:fldChar w:fldCharType="separate"/>
    </w:r>
    <w:r w:rsidR="008255B1" w:rsidRPr="008255B1">
      <w:rPr>
        <w:rFonts w:ascii="Arial" w:eastAsiaTheme="majorEastAsia" w:hAnsi="Arial" w:cs="Arial"/>
        <w:noProof/>
      </w:rPr>
      <w:t>3</w:t>
    </w:r>
    <w:r w:rsidRPr="00FE3FE0">
      <w:rPr>
        <w:rFonts w:ascii="Arial" w:eastAsiaTheme="majorEastAsia" w:hAnsi="Arial" w:cs="Arial"/>
      </w:rPr>
      <w:fldChar w:fldCharType="end"/>
    </w:r>
  </w:p>
  <w:p w:rsidR="000A13AD" w:rsidRDefault="000A13AD" w:rsidP="000A13AD">
    <w:pPr>
      <w:pStyle w:val="Piedepgina"/>
    </w:pPr>
  </w:p>
  <w:p w:rsidR="000A13AD" w:rsidRDefault="000A13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8C" w:rsidRDefault="0086108C" w:rsidP="000A13AD">
      <w:pPr>
        <w:spacing w:after="0" w:line="240" w:lineRule="auto"/>
      </w:pPr>
      <w:r>
        <w:separator/>
      </w:r>
    </w:p>
  </w:footnote>
  <w:footnote w:type="continuationSeparator" w:id="0">
    <w:p w:rsidR="0086108C" w:rsidRDefault="0086108C" w:rsidP="000A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1D39"/>
    <w:multiLevelType w:val="hybridMultilevel"/>
    <w:tmpl w:val="4078CD94"/>
    <w:lvl w:ilvl="0" w:tplc="8BB89644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B191196"/>
    <w:multiLevelType w:val="hybridMultilevel"/>
    <w:tmpl w:val="9CB2DFFE"/>
    <w:lvl w:ilvl="0" w:tplc="EE9C8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EA"/>
    <w:rsid w:val="00025DEA"/>
    <w:rsid w:val="000A13AD"/>
    <w:rsid w:val="00537F68"/>
    <w:rsid w:val="008255B1"/>
    <w:rsid w:val="0086108C"/>
    <w:rsid w:val="009B1C3C"/>
    <w:rsid w:val="00B362E1"/>
    <w:rsid w:val="00BF18D6"/>
    <w:rsid w:val="00C47462"/>
    <w:rsid w:val="00D85AE6"/>
    <w:rsid w:val="00E52E87"/>
    <w:rsid w:val="00E53834"/>
    <w:rsid w:val="00EB44D6"/>
    <w:rsid w:val="00F4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5D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3AD"/>
  </w:style>
  <w:style w:type="paragraph" w:styleId="Piedepgina">
    <w:name w:val="footer"/>
    <w:basedOn w:val="Normal"/>
    <w:link w:val="PiedepginaCar"/>
    <w:uiPriority w:val="99"/>
    <w:unhideWhenUsed/>
    <w:rsid w:val="000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3AD"/>
  </w:style>
  <w:style w:type="paragraph" w:styleId="Textodeglobo">
    <w:name w:val="Balloon Text"/>
    <w:basedOn w:val="Normal"/>
    <w:link w:val="TextodegloboCar"/>
    <w:uiPriority w:val="99"/>
    <w:semiHidden/>
    <w:unhideWhenUsed/>
    <w:rsid w:val="00EB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5D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3AD"/>
  </w:style>
  <w:style w:type="paragraph" w:styleId="Piedepgina">
    <w:name w:val="footer"/>
    <w:basedOn w:val="Normal"/>
    <w:link w:val="PiedepginaCar"/>
    <w:uiPriority w:val="99"/>
    <w:unhideWhenUsed/>
    <w:rsid w:val="000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3AD"/>
  </w:style>
  <w:style w:type="paragraph" w:styleId="Textodeglobo">
    <w:name w:val="Balloon Text"/>
    <w:basedOn w:val="Normal"/>
    <w:link w:val="TextodegloboCar"/>
    <w:uiPriority w:val="99"/>
    <w:semiHidden/>
    <w:unhideWhenUsed/>
    <w:rsid w:val="00EB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ficiologia</dc:creator>
  <cp:lastModifiedBy>ficiologia</cp:lastModifiedBy>
  <cp:revision>7</cp:revision>
  <cp:lastPrinted>2017-04-21T17:25:00Z</cp:lastPrinted>
  <dcterms:created xsi:type="dcterms:W3CDTF">2017-04-20T12:50:00Z</dcterms:created>
  <dcterms:modified xsi:type="dcterms:W3CDTF">2017-04-21T18:12:00Z</dcterms:modified>
</cp:coreProperties>
</file>